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27BF31AB" w:rsidR="00801515" w:rsidRPr="00100236" w:rsidRDefault="00B73AB7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Edwin Pounds</w:t>
      </w:r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&amp; </w:t>
      </w:r>
      <w:proofErr w:type="gramStart"/>
      <w:r w:rsidR="00202989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Sons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–</w:t>
      </w:r>
      <w:proofErr w:type="gramEnd"/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Community Fund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575EEDBC" w:rsidR="00801515" w:rsidRPr="00B73AB7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B73AB7" w:rsidRPr="00B73AB7">
        <w:rPr>
          <w:rFonts w:eastAsia="Aptos" w:cstheme="minorHAnsi"/>
          <w:b/>
          <w:bCs/>
          <w:color w:val="auto"/>
          <w:sz w:val="24"/>
          <w:szCs w:val="24"/>
        </w:rPr>
        <w:t>Edwin Pounds</w:t>
      </w:r>
      <w:r w:rsidRPr="00B73AB7">
        <w:rPr>
          <w:rFonts w:eastAsia="Aptos" w:cstheme="minorHAnsi"/>
          <w:b/>
          <w:bCs/>
          <w:color w:val="auto"/>
          <w:sz w:val="24"/>
          <w:szCs w:val="24"/>
        </w:rPr>
        <w:t xml:space="preserve"> Community Fund</w:t>
      </w:r>
    </w:p>
    <w:p w14:paraId="32E7DC94" w14:textId="5025CFDC" w:rsidR="00801515" w:rsidRPr="00100236" w:rsidRDefault="61F69B89" w:rsidP="18827AD0">
      <w:pPr>
        <w:spacing w:before="240" w:after="240"/>
        <w:rPr>
          <w:rFonts w:cstheme="minorHAnsi"/>
        </w:rPr>
      </w:pPr>
      <w:r w:rsidRPr="00B73AB7">
        <w:rPr>
          <w:rFonts w:eastAsia="Aptos" w:cstheme="minorHAnsi"/>
        </w:rPr>
        <w:t xml:space="preserve">In these challenging economic times, we have established the </w:t>
      </w:r>
      <w:r w:rsidR="00B73AB7" w:rsidRPr="00B73AB7">
        <w:rPr>
          <w:rFonts w:eastAsia="Aptos" w:cstheme="minorHAnsi"/>
        </w:rPr>
        <w:t xml:space="preserve">Edwin Pounds </w:t>
      </w:r>
      <w:r w:rsidRPr="00B73AB7">
        <w:rPr>
          <w:rFonts w:eastAsia="Aptos" w:cstheme="minorHAnsi"/>
        </w:rPr>
        <w:t>Community Fund to help</w:t>
      </w:r>
      <w:r w:rsidRPr="00100236">
        <w:rPr>
          <w:rFonts w:eastAsia="Aptos" w:cstheme="minorHAnsi"/>
        </w:rPr>
        <w:t xml:space="preserve">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202989">
        <w:rPr>
          <w:rFonts w:eastAsia="Aptos" w:cstheme="minorHAnsi"/>
        </w:rPr>
        <w:t>6</w:t>
      </w:r>
      <w:r w:rsidRPr="00100236">
        <w:rPr>
          <w:rFonts w:eastAsia="Aptos" w:cstheme="minorHAnsi"/>
        </w:rPr>
        <w:t xml:space="preserve"> miles of an area in which </w:t>
      </w:r>
      <w:r w:rsidR="00202989">
        <w:rPr>
          <w:rFonts w:eastAsia="Aptos" w:cstheme="minorHAnsi"/>
        </w:rPr>
        <w:t xml:space="preserve">Edwin Pounds &amp; Sons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not eligible.</w:t>
      </w:r>
    </w:p>
    <w:p w14:paraId="13C38EB7" w14:textId="5F35635E" w:rsidR="00801515" w:rsidRPr="001D133F" w:rsidRDefault="61F69B89" w:rsidP="001D133F">
      <w:r w:rsidRPr="00100236">
        <w:rPr>
          <w:rFonts w:eastAsia="Aptos" w:cstheme="minorHAnsi"/>
        </w:rPr>
        <w:t>The Community Fund will be a rolling programme during 2026. Applications can be submitted at any time during the application window (</w:t>
      </w:r>
      <w:r w:rsidR="00B73AB7">
        <w:rPr>
          <w:rFonts w:eastAsia="Aptos" w:cstheme="minorHAnsi"/>
        </w:rPr>
        <w:t>S</w:t>
      </w:r>
      <w:r w:rsidRPr="00100236">
        <w:rPr>
          <w:rFonts w:eastAsia="Aptos" w:cstheme="minorHAnsi"/>
        </w:rPr>
        <w:t>e</w:t>
      </w:r>
      <w:r w:rsidRPr="001D133F">
        <w:rPr>
          <w:rFonts w:eastAsia="Aptos" w:cstheme="minorHAnsi"/>
        </w:rPr>
        <w:t xml:space="preserve">e </w:t>
      </w:r>
      <w:r w:rsidR="00B73AB7" w:rsidRPr="001D133F">
        <w:rPr>
          <w:rFonts w:eastAsia="Aptos" w:cstheme="minorHAnsi"/>
        </w:rPr>
        <w:t>Edwin Pounds</w:t>
      </w:r>
      <w:r w:rsidRPr="001D133F">
        <w:rPr>
          <w:rFonts w:eastAsia="Aptos" w:cstheme="minorHAnsi"/>
        </w:rPr>
        <w:t xml:space="preserve"> </w:t>
      </w:r>
      <w:r w:rsidR="0E2383E1" w:rsidRPr="001D133F">
        <w:rPr>
          <w:rFonts w:eastAsia="Aptos" w:cstheme="minorHAnsi"/>
        </w:rPr>
        <w:t>website</w:t>
      </w:r>
      <w:r w:rsidR="0E2383E1" w:rsidRPr="00100236">
        <w:rPr>
          <w:rFonts w:eastAsia="Aptos" w:cstheme="minorHAnsi"/>
        </w:rPr>
        <w:t xml:space="preserve"> </w:t>
      </w:r>
      <w:hyperlink r:id="rId7" w:history="1">
        <w:r w:rsidR="001D133F" w:rsidRPr="000B6C9B">
          <w:rPr>
            <w:rStyle w:val="Hyperlink"/>
          </w:rPr>
          <w:t>https://www.edwinpoundsandsons.co.uk/locations/wibsey/</w:t>
        </w:r>
      </w:hyperlink>
      <w:r w:rsidR="001D133F">
        <w:t xml:space="preserve"> </w:t>
      </w:r>
      <w:r w:rsidR="0E2383E1" w:rsidRPr="00100236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4F489ECE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202989">
        <w:rPr>
          <w:rFonts w:eastAsia="Aptos" w:cstheme="minorHAnsi"/>
          <w:b/>
          <w:bCs/>
        </w:rPr>
        <w:t>£1000</w:t>
      </w:r>
      <w:r w:rsidRPr="00100236">
        <w:rPr>
          <w:rFonts w:eastAsia="Aptos" w:cstheme="minorHAnsi"/>
        </w:rPr>
        <w:t xml:space="preserve"> We aim to fund projects that run for </w:t>
      </w:r>
      <w:r w:rsidR="00202989">
        <w:rPr>
          <w:rFonts w:eastAsia="Aptos" w:cstheme="minorHAnsi"/>
        </w:rPr>
        <w:t>2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7C055943" w14:textId="12DAA50B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lastRenderedPageBreak/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2194F49A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202989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="00202989">
        <w:rPr>
          <w:rFonts w:eastAsia="Aptos" w:cstheme="minorHAnsi"/>
          <w:b/>
          <w:bCs/>
        </w:rPr>
        <w:t>£1000.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11587427" w14:textId="77777777" w:rsidR="00202989" w:rsidRDefault="00202989" w:rsidP="00202989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https://www.edwinpoundsandsons.co.uk/community-fund/</w:t>
        </w:r>
      </w:hyperlink>
    </w:p>
    <w:p w14:paraId="2D313215" w14:textId="6BDAA232" w:rsidR="006F3387" w:rsidRPr="006F3387" w:rsidRDefault="61F69B89" w:rsidP="006F338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6F3387">
        <w:rPr>
          <w:rFonts w:eastAsia="Aptos" w:cstheme="minorHAnsi"/>
        </w:rPr>
        <w:t xml:space="preserve">Or by emailing </w:t>
      </w:r>
      <w:hyperlink r:id="rId9" w:history="1">
        <w:r w:rsidR="00202989" w:rsidRPr="00202989">
          <w:rPr>
            <w:rStyle w:val="Hyperlink"/>
          </w:rPr>
          <w:t>e</w:t>
        </w:r>
        <w:r w:rsidR="006F3387" w:rsidRPr="00202989">
          <w:rPr>
            <w:rStyle w:val="Hyperlink"/>
          </w:rPr>
          <w:t>dwinpoundscommunityfund@funeralpartners.co.uk</w:t>
        </w:r>
      </w:hyperlink>
    </w:p>
    <w:p w14:paraId="251EDA73" w14:textId="535B2220" w:rsidR="00801515" w:rsidRPr="00100236" w:rsidRDefault="00801515" w:rsidP="006F3387">
      <w:pPr>
        <w:pStyle w:val="ListParagraph"/>
        <w:spacing w:before="240" w:after="240"/>
        <w:rPr>
          <w:rFonts w:eastAsia="Aptos" w:cstheme="minorHAnsi"/>
          <w:b/>
          <w:bCs/>
          <w:highlight w:val="yellow"/>
        </w:rPr>
      </w:pPr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lastRenderedPageBreak/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4BE2630F" w14:textId="32F06CA0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7ECC198A" w:rsidR="00801515" w:rsidRPr="006F3387" w:rsidRDefault="080F24E3" w:rsidP="00202989">
      <w:pPr>
        <w:pStyle w:val="ListParagraph"/>
        <w:numPr>
          <w:ilvl w:val="0"/>
          <w:numId w:val="4"/>
        </w:numPr>
      </w:pPr>
      <w:r w:rsidRPr="006F3387">
        <w:rPr>
          <w:rFonts w:eastAsia="Aptos" w:cstheme="minorHAnsi"/>
        </w:rPr>
        <w:t>Please see</w:t>
      </w:r>
      <w:r w:rsidR="006F3387" w:rsidRPr="006F3387">
        <w:rPr>
          <w:rFonts w:eastAsia="Aptos" w:cstheme="minorHAnsi"/>
        </w:rPr>
        <w:t xml:space="preserve"> </w:t>
      </w:r>
      <w:hyperlink r:id="rId10" w:history="1">
        <w:r w:rsidR="00202989">
          <w:rPr>
            <w:rStyle w:val="Hyperlink"/>
          </w:rPr>
          <w:t>https://www.edwinpoundsandsons.co.uk/community-fund/</w:t>
        </w:r>
      </w:hyperlink>
      <w:r w:rsidR="00202989">
        <w:t xml:space="preserve"> </w:t>
      </w:r>
      <w:r w:rsidR="006F3387" w:rsidRPr="006F3387">
        <w:t xml:space="preserve"> </w:t>
      </w:r>
      <w:r w:rsidRPr="00202989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595D31E2" w14:textId="77777777" w:rsidR="00202989" w:rsidRDefault="00C33C60" w:rsidP="00202989">
      <w:pPr>
        <w:pStyle w:val="ListParagraph"/>
        <w:numPr>
          <w:ilvl w:val="0"/>
          <w:numId w:val="4"/>
        </w:numPr>
      </w:pPr>
      <w:r>
        <w:rPr>
          <w:rFonts w:cstheme="minorHAnsi"/>
        </w:rPr>
        <w:lastRenderedPageBreak/>
        <w:t xml:space="preserve">For full Terms and Conditions please </w:t>
      </w:r>
      <w:r w:rsidR="008370BE">
        <w:rPr>
          <w:rFonts w:cstheme="minorHAnsi"/>
        </w:rPr>
        <w:t xml:space="preserve">visit </w:t>
      </w:r>
      <w:hyperlink r:id="rId11" w:history="1">
        <w:r w:rsidR="00202989">
          <w:rPr>
            <w:rStyle w:val="Hyperlink"/>
          </w:rPr>
          <w:t>https://www.edwinpoundsandsons.co.uk/community-fund/</w:t>
        </w:r>
      </w:hyperlink>
    </w:p>
    <w:p w14:paraId="24B057B8" w14:textId="674F8C22" w:rsidR="006F3387" w:rsidRPr="006F3387" w:rsidRDefault="006F3387" w:rsidP="00202989">
      <w:pPr>
        <w:pStyle w:val="ListParagraph"/>
      </w:pPr>
    </w:p>
    <w:p w14:paraId="5E5787A5" w14:textId="1C21F5ED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0291C" w14:textId="77777777" w:rsidR="00543CE9" w:rsidRDefault="00543CE9" w:rsidP="00877CC3">
      <w:pPr>
        <w:spacing w:after="0" w:line="240" w:lineRule="auto"/>
      </w:pPr>
      <w:r>
        <w:separator/>
      </w:r>
    </w:p>
  </w:endnote>
  <w:endnote w:type="continuationSeparator" w:id="0">
    <w:p w14:paraId="42CA059B" w14:textId="77777777" w:rsidR="00543CE9" w:rsidRDefault="00543CE9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855D6" w14:textId="77777777" w:rsidR="00543CE9" w:rsidRDefault="00543CE9" w:rsidP="00877CC3">
      <w:pPr>
        <w:spacing w:after="0" w:line="240" w:lineRule="auto"/>
      </w:pPr>
      <w:r>
        <w:separator/>
      </w:r>
    </w:p>
  </w:footnote>
  <w:footnote w:type="continuationSeparator" w:id="0">
    <w:p w14:paraId="10E0C05D" w14:textId="77777777" w:rsidR="00543CE9" w:rsidRDefault="00543CE9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9D285" w14:textId="734093CC" w:rsidR="00202989" w:rsidRPr="00202989" w:rsidRDefault="00202989" w:rsidP="00202989">
    <w:pPr>
      <w:pStyle w:val="Header"/>
      <w:jc w:val="center"/>
    </w:pPr>
    <w:r w:rsidRPr="00202989">
      <w:drawing>
        <wp:inline distT="0" distB="0" distL="0" distR="0" wp14:anchorId="43D6564E" wp14:editId="2A38AA89">
          <wp:extent cx="3133090" cy="927153"/>
          <wp:effectExtent l="0" t="0" r="0" b="6350"/>
          <wp:docPr id="2958257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377" cy="936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60D5B" w14:textId="459B5F7B" w:rsidR="00202989" w:rsidRDefault="00202989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D133F"/>
    <w:rsid w:val="001F2B2E"/>
    <w:rsid w:val="00202989"/>
    <w:rsid w:val="00267733"/>
    <w:rsid w:val="002E41EC"/>
    <w:rsid w:val="00316B58"/>
    <w:rsid w:val="00362E73"/>
    <w:rsid w:val="003B4287"/>
    <w:rsid w:val="003E1E53"/>
    <w:rsid w:val="004376E1"/>
    <w:rsid w:val="00543CE9"/>
    <w:rsid w:val="005F5563"/>
    <w:rsid w:val="006F3387"/>
    <w:rsid w:val="00714F3B"/>
    <w:rsid w:val="0078155F"/>
    <w:rsid w:val="00790CB0"/>
    <w:rsid w:val="007B3B48"/>
    <w:rsid w:val="00801515"/>
    <w:rsid w:val="0080529A"/>
    <w:rsid w:val="008370BE"/>
    <w:rsid w:val="00877CC3"/>
    <w:rsid w:val="00894C54"/>
    <w:rsid w:val="008E626B"/>
    <w:rsid w:val="009816CF"/>
    <w:rsid w:val="009B23E3"/>
    <w:rsid w:val="00B42A51"/>
    <w:rsid w:val="00B73AB7"/>
    <w:rsid w:val="00C33C60"/>
    <w:rsid w:val="00CD2278"/>
    <w:rsid w:val="00D31173"/>
    <w:rsid w:val="00DF6735"/>
    <w:rsid w:val="00E1706F"/>
    <w:rsid w:val="00F771AD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character" w:styleId="UnresolvedMention">
    <w:name w:val="Unresolved Mention"/>
    <w:basedOn w:val="DefaultParagraphFont"/>
    <w:uiPriority w:val="99"/>
    <w:semiHidden/>
    <w:unhideWhenUsed/>
    <w:rsid w:val="006F3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winpoundsandsons.co.uk/community-fun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dwinpoundsandsons.co.uk/locations/wibse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winpoundsandsons.co.uk/community-fun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edwinpoundsandsons.co.uk/community-fun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everleyBrown\AppData\Local\Microsoft\Windows\INetCache\Content.Outlook\8K3D2V6F\edwinpoundscommunityfund@funeralpartners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606</Words>
  <Characters>3893</Characters>
  <Application>Microsoft Office Word</Application>
  <DocSecurity>4</DocSecurity>
  <Lines>92</Lines>
  <Paragraphs>78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2</cp:revision>
  <dcterms:created xsi:type="dcterms:W3CDTF">2026-02-02T14:25:00Z</dcterms:created>
  <dcterms:modified xsi:type="dcterms:W3CDTF">2026-02-02T14:25:00Z</dcterms:modified>
</cp:coreProperties>
</file>